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5C706" w14:textId="77777777" w:rsidR="00A47C4D" w:rsidRDefault="00F74168" w:rsidP="007B341D">
      <w:pPr>
        <w:pStyle w:val="Heading1"/>
        <w:rPr>
          <w:rFonts w:ascii="Arial" w:hAnsi="Arial" w:cs="Arial"/>
          <w:sz w:val="32"/>
        </w:rPr>
      </w:pPr>
      <w:r w:rsidRPr="00540F67">
        <w:rPr>
          <w:rFonts w:ascii="Arial" w:hAnsi="Arial" w:cs="Arial"/>
          <w:sz w:val="32"/>
        </w:rPr>
        <w:t>Declined Referral</w:t>
      </w:r>
      <w:r w:rsidR="00086373" w:rsidRPr="00540F67">
        <w:rPr>
          <w:rFonts w:ascii="Arial" w:hAnsi="Arial" w:cs="Arial"/>
          <w:sz w:val="32"/>
        </w:rPr>
        <w:t xml:space="preserve"> form</w:t>
      </w:r>
    </w:p>
    <w:p w14:paraId="5D215FAC" w14:textId="64602139" w:rsidR="00F77E52" w:rsidRPr="005F2B08" w:rsidRDefault="00F77E52" w:rsidP="00F77E52">
      <w:pPr>
        <w:rPr>
          <w:rFonts w:ascii="Arial" w:eastAsiaTheme="majorEastAsia" w:hAnsi="Arial" w:cs="Arial"/>
          <w:caps/>
          <w:spacing w:val="10"/>
          <w:sz w:val="32"/>
          <w:szCs w:val="32"/>
        </w:rPr>
      </w:pPr>
      <w:r w:rsidRPr="005F2B08">
        <w:rPr>
          <w:rFonts w:ascii="Arial" w:eastAsiaTheme="majorEastAsia" w:hAnsi="Arial" w:cs="Arial"/>
          <w:caps/>
          <w:spacing w:val="10"/>
          <w:sz w:val="32"/>
          <w:szCs w:val="32"/>
        </w:rPr>
        <w:t>Notice: Colposcopy Not Required</w:t>
      </w:r>
    </w:p>
    <w:tbl>
      <w:tblPr>
        <w:tblStyle w:val="TableGrid"/>
        <w:tblpPr w:leftFromText="180" w:rightFromText="180" w:vertAnchor="text" w:horzAnchor="margin" w:tblpXSpec="right" w:tblpY="-29"/>
        <w:tblW w:w="0" w:type="auto"/>
        <w:tblLook w:val="04A0" w:firstRow="1" w:lastRow="0" w:firstColumn="1" w:lastColumn="0" w:noHBand="0" w:noVBand="1"/>
        <w:tblCaption w:val="Patient Identifier"/>
        <w:tblDescription w:val="Blank space to insert patient identifier information."/>
      </w:tblPr>
      <w:tblGrid>
        <w:gridCol w:w="4320"/>
      </w:tblGrid>
      <w:tr w:rsidR="009809F4" w:rsidRPr="00540F67" w14:paraId="0E584D5D" w14:textId="77777777" w:rsidTr="00DE2746">
        <w:trPr>
          <w:trHeight w:val="1338"/>
          <w:tblHeader/>
        </w:trPr>
        <w:tc>
          <w:tcPr>
            <w:tcW w:w="4320" w:type="dxa"/>
          </w:tcPr>
          <w:p w14:paraId="0983C18C" w14:textId="77777777" w:rsidR="009809F4" w:rsidRPr="009809F4" w:rsidRDefault="009809F4" w:rsidP="009809F4">
            <w:pPr>
              <w:rPr>
                <w:rFonts w:ascii="Arial" w:eastAsiaTheme="majorEastAsia" w:hAnsi="Arial" w:cs="Arial"/>
                <w:caps/>
                <w:spacing w:val="10"/>
                <w:sz w:val="22"/>
                <w:szCs w:val="36"/>
              </w:rPr>
            </w:pPr>
            <w:r w:rsidRPr="009809F4">
              <w:rPr>
                <w:rFonts w:ascii="Arial" w:eastAsiaTheme="majorEastAsia" w:hAnsi="Arial" w:cs="Arial"/>
                <w:caps/>
                <w:spacing w:val="10"/>
                <w:sz w:val="22"/>
                <w:szCs w:val="36"/>
              </w:rPr>
              <w:t>Patient Identifier:</w:t>
            </w:r>
          </w:p>
          <w:p w14:paraId="1EA4C066" w14:textId="77777777" w:rsidR="009809F4" w:rsidRPr="00540F67" w:rsidRDefault="009809F4" w:rsidP="009809F4">
            <w:pPr>
              <w:rPr>
                <w:rFonts w:ascii="Arial" w:hAnsi="Arial" w:cs="Arial"/>
                <w:sz w:val="20"/>
              </w:rPr>
            </w:pPr>
          </w:p>
          <w:p w14:paraId="3175C6CC" w14:textId="77777777" w:rsidR="009809F4" w:rsidRPr="00540F67" w:rsidRDefault="009809F4" w:rsidP="009809F4">
            <w:pPr>
              <w:rPr>
                <w:rFonts w:ascii="Arial" w:hAnsi="Arial" w:cs="Arial"/>
                <w:sz w:val="20"/>
              </w:rPr>
            </w:pPr>
          </w:p>
        </w:tc>
      </w:tr>
    </w:tbl>
    <w:p w14:paraId="0DB07946" w14:textId="269A6123" w:rsidR="007B341D" w:rsidRPr="00540F67" w:rsidRDefault="00F32587" w:rsidP="007B341D">
      <w:pPr>
        <w:pStyle w:val="Heading1"/>
        <w:rPr>
          <w:rFonts w:ascii="Arial" w:hAnsi="Arial" w:cs="Arial"/>
          <w:sz w:val="22"/>
        </w:rPr>
      </w:pPr>
      <w:r w:rsidRPr="00540F67">
        <w:rPr>
          <w:rFonts w:ascii="Arial" w:hAnsi="Arial" w:cs="Arial"/>
          <w:sz w:val="22"/>
        </w:rPr>
        <w:t xml:space="preserve"> </w:t>
      </w:r>
      <w:r w:rsidR="007B341D" w:rsidRPr="00540F67">
        <w:rPr>
          <w:rFonts w:ascii="Arial" w:hAnsi="Arial" w:cs="Arial"/>
          <w:sz w:val="22"/>
        </w:rPr>
        <w:t>[Colpos</w:t>
      </w:r>
      <w:r w:rsidR="00DA7CAA" w:rsidRPr="00540F67">
        <w:rPr>
          <w:rFonts w:ascii="Arial" w:hAnsi="Arial" w:cs="Arial"/>
          <w:sz w:val="22"/>
        </w:rPr>
        <w:t>C</w:t>
      </w:r>
      <w:r w:rsidR="007B341D" w:rsidRPr="00540F67">
        <w:rPr>
          <w:rFonts w:ascii="Arial" w:hAnsi="Arial" w:cs="Arial"/>
          <w:sz w:val="22"/>
        </w:rPr>
        <w:t>opist Name]</w:t>
      </w:r>
    </w:p>
    <w:p w14:paraId="3221B828" w14:textId="1C9F51A8" w:rsidR="00F7577A" w:rsidRPr="00540F67" w:rsidRDefault="00F32587" w:rsidP="00496F36">
      <w:pPr>
        <w:pStyle w:val="Heading1"/>
        <w:tabs>
          <w:tab w:val="left" w:pos="4335"/>
        </w:tabs>
        <w:spacing w:before="0" w:after="0"/>
        <w:rPr>
          <w:rFonts w:ascii="Arial" w:hAnsi="Arial" w:cs="Arial"/>
          <w:sz w:val="20"/>
        </w:rPr>
      </w:pPr>
      <w:r w:rsidRPr="00540F67">
        <w:rPr>
          <w:rFonts w:ascii="Arial" w:hAnsi="Arial" w:cs="Arial"/>
          <w:sz w:val="22"/>
        </w:rPr>
        <w:t xml:space="preserve"> </w:t>
      </w:r>
      <w:r w:rsidR="007B341D" w:rsidRPr="00540F67">
        <w:rPr>
          <w:rFonts w:ascii="Arial" w:hAnsi="Arial" w:cs="Arial"/>
          <w:sz w:val="22"/>
        </w:rPr>
        <w:t>[Contact Information]</w:t>
      </w:r>
      <w:r w:rsidR="00496F36">
        <w:rPr>
          <w:rFonts w:ascii="Arial" w:hAnsi="Arial" w:cs="Arial"/>
          <w:sz w:val="20"/>
        </w:rPr>
        <w:t xml:space="preserve"> </w:t>
      </w:r>
    </w:p>
    <w:p w14:paraId="29DAA2D9" w14:textId="77777777" w:rsidR="00496F36" w:rsidRDefault="00496F36" w:rsidP="00496F36">
      <w:pPr>
        <w:spacing w:after="0" w:line="240" w:lineRule="auto"/>
        <w:rPr>
          <w:rFonts w:ascii="Arial" w:hAnsi="Arial" w:cs="Arial"/>
          <w:sz w:val="20"/>
        </w:rPr>
      </w:pPr>
    </w:p>
    <w:p w14:paraId="52A29492" w14:textId="77777777" w:rsidR="00F32587" w:rsidRPr="00540F67" w:rsidRDefault="00F32587" w:rsidP="00DE2746">
      <w:pPr>
        <w:spacing w:before="120" w:after="0" w:line="240" w:lineRule="auto"/>
        <w:rPr>
          <w:rFonts w:ascii="Arial" w:hAnsi="Arial" w:cs="Arial"/>
          <w:sz w:val="20"/>
        </w:rPr>
      </w:pPr>
      <w:r w:rsidRPr="00540F67">
        <w:rPr>
          <w:rFonts w:ascii="Arial" w:hAnsi="Arial" w:cs="Arial"/>
          <w:sz w:val="20"/>
        </w:rPr>
        <w:t>Date:</w:t>
      </w:r>
    </w:p>
    <w:p w14:paraId="1E88A634" w14:textId="77777777" w:rsidR="00DE2746" w:rsidRDefault="00DE2746" w:rsidP="00DE2746">
      <w:pPr>
        <w:spacing w:before="120" w:after="0" w:line="240" w:lineRule="auto"/>
        <w:rPr>
          <w:rFonts w:ascii="Arial" w:hAnsi="Arial" w:cs="Arial"/>
          <w:sz w:val="22"/>
          <w:szCs w:val="24"/>
        </w:rPr>
      </w:pPr>
    </w:p>
    <w:p w14:paraId="2531038D" w14:textId="77777777" w:rsidR="001D5F08" w:rsidRDefault="00D251E7" w:rsidP="00DE2746">
      <w:pPr>
        <w:spacing w:before="120" w:after="0" w:line="240" w:lineRule="auto"/>
        <w:rPr>
          <w:rFonts w:ascii="Arial" w:hAnsi="Arial" w:cs="Arial"/>
          <w:sz w:val="22"/>
          <w:szCs w:val="24"/>
        </w:rPr>
      </w:pPr>
      <w:r w:rsidRPr="00540F67">
        <w:rPr>
          <w:rFonts w:ascii="Arial" w:hAnsi="Arial" w:cs="Arial"/>
          <w:sz w:val="22"/>
          <w:szCs w:val="24"/>
        </w:rPr>
        <w:t>Based on this woman’s referral cytology and/or HPV test result, she is at low risk for high-grade d</w:t>
      </w:r>
      <w:r w:rsidR="001D5F08">
        <w:rPr>
          <w:rFonts w:ascii="Arial" w:hAnsi="Arial" w:cs="Arial"/>
          <w:sz w:val="22"/>
          <w:szCs w:val="24"/>
        </w:rPr>
        <w:t xml:space="preserve">ysplasia or cervical cancer. </w:t>
      </w:r>
    </w:p>
    <w:p w14:paraId="0B9DCB87" w14:textId="77777777" w:rsidR="001D5F08" w:rsidRDefault="001D5F08" w:rsidP="00D251E7">
      <w:pPr>
        <w:spacing w:after="0" w:line="240" w:lineRule="auto"/>
        <w:rPr>
          <w:rFonts w:ascii="Arial" w:hAnsi="Arial" w:cs="Arial"/>
          <w:sz w:val="22"/>
          <w:szCs w:val="24"/>
        </w:rPr>
      </w:pPr>
    </w:p>
    <w:p w14:paraId="5D9C425D" w14:textId="5FBD2A15" w:rsidR="00D251E7" w:rsidRPr="00540F67" w:rsidRDefault="001D5F08" w:rsidP="00D251E7">
      <w:pPr>
        <w:spacing w:after="0" w:line="24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</w:t>
      </w:r>
      <w:r w:rsidR="00D251E7" w:rsidRPr="00540F67">
        <w:rPr>
          <w:rFonts w:ascii="Arial" w:hAnsi="Arial" w:cs="Arial"/>
          <w:sz w:val="22"/>
          <w:szCs w:val="24"/>
        </w:rPr>
        <w:t xml:space="preserve">t does </w:t>
      </w:r>
      <w:r w:rsidR="00D251E7" w:rsidRPr="00540F67">
        <w:rPr>
          <w:rFonts w:ascii="Arial" w:hAnsi="Arial" w:cs="Arial"/>
          <w:b/>
          <w:sz w:val="22"/>
          <w:szCs w:val="24"/>
          <w:u w:val="single"/>
        </w:rPr>
        <w:t>not</w:t>
      </w:r>
      <w:r w:rsidR="00D251E7" w:rsidRPr="00540F67">
        <w:rPr>
          <w:rFonts w:ascii="Arial" w:hAnsi="Arial" w:cs="Arial"/>
          <w:sz w:val="22"/>
          <w:szCs w:val="24"/>
        </w:rPr>
        <w:t xml:space="preserve"> appear </w:t>
      </w:r>
      <w:r w:rsidR="00D251E7">
        <w:rPr>
          <w:rFonts w:ascii="Arial" w:hAnsi="Arial" w:cs="Arial"/>
          <w:sz w:val="22"/>
          <w:szCs w:val="24"/>
        </w:rPr>
        <w:t xml:space="preserve">that </w:t>
      </w:r>
      <w:r w:rsidR="00D251E7" w:rsidRPr="00540F67">
        <w:rPr>
          <w:rFonts w:ascii="Arial" w:hAnsi="Arial" w:cs="Arial"/>
          <w:sz w:val="22"/>
          <w:szCs w:val="24"/>
        </w:rPr>
        <w:t>she requires a colposcopic assessment.</w:t>
      </w:r>
      <w:r w:rsidR="00482061">
        <w:rPr>
          <w:rFonts w:ascii="Arial" w:hAnsi="Arial" w:cs="Arial"/>
          <w:sz w:val="22"/>
          <w:szCs w:val="24"/>
        </w:rPr>
        <w:t xml:space="preserve"> C</w:t>
      </w:r>
      <w:r>
        <w:rPr>
          <w:rFonts w:ascii="Arial" w:hAnsi="Arial" w:cs="Arial"/>
          <w:sz w:val="22"/>
          <w:szCs w:val="24"/>
        </w:rPr>
        <w:t>olposcopy has</w:t>
      </w:r>
      <w:r w:rsidR="00482061">
        <w:rPr>
          <w:rFonts w:ascii="Arial" w:hAnsi="Arial" w:cs="Arial"/>
          <w:sz w:val="22"/>
          <w:szCs w:val="24"/>
        </w:rPr>
        <w:t xml:space="preserve"> </w:t>
      </w:r>
      <w:r w:rsidR="00482061" w:rsidRPr="00482061">
        <w:rPr>
          <w:rFonts w:ascii="Arial" w:hAnsi="Arial" w:cs="Arial"/>
          <w:b/>
          <w:sz w:val="22"/>
          <w:szCs w:val="24"/>
          <w:u w:val="single"/>
        </w:rPr>
        <w:t>not</w:t>
      </w:r>
      <w:r>
        <w:rPr>
          <w:rFonts w:ascii="Arial" w:hAnsi="Arial" w:cs="Arial"/>
          <w:sz w:val="22"/>
          <w:szCs w:val="24"/>
        </w:rPr>
        <w:t xml:space="preserve"> been scheduled.</w:t>
      </w:r>
      <w:r w:rsidR="00D251E7" w:rsidRPr="00540F67">
        <w:rPr>
          <w:rFonts w:ascii="Arial" w:hAnsi="Arial" w:cs="Arial"/>
          <w:sz w:val="22"/>
          <w:szCs w:val="24"/>
        </w:rPr>
        <w:t xml:space="preserve"> If this referral has been </w:t>
      </w:r>
      <w:r w:rsidR="00D251E7">
        <w:rPr>
          <w:rFonts w:ascii="Arial" w:hAnsi="Arial" w:cs="Arial"/>
          <w:sz w:val="22"/>
          <w:szCs w:val="24"/>
        </w:rPr>
        <w:t>based on additional</w:t>
      </w:r>
      <w:r w:rsidR="00D251E7" w:rsidRPr="00540F67">
        <w:rPr>
          <w:rFonts w:ascii="Arial" w:hAnsi="Arial" w:cs="Arial"/>
          <w:sz w:val="22"/>
          <w:szCs w:val="24"/>
        </w:rPr>
        <w:t xml:space="preserve"> information, please </w:t>
      </w:r>
      <w:proofErr w:type="gramStart"/>
      <w:r w:rsidR="00D251E7" w:rsidRPr="00540F67">
        <w:rPr>
          <w:rFonts w:ascii="Arial" w:hAnsi="Arial" w:cs="Arial"/>
          <w:sz w:val="22"/>
          <w:szCs w:val="24"/>
        </w:rPr>
        <w:t>advise</w:t>
      </w:r>
      <w:proofErr w:type="gramEnd"/>
      <w:r w:rsidR="00D251E7" w:rsidRPr="00540F67">
        <w:rPr>
          <w:rFonts w:ascii="Arial" w:hAnsi="Arial" w:cs="Arial"/>
          <w:sz w:val="22"/>
          <w:szCs w:val="24"/>
        </w:rPr>
        <w:t xml:space="preserve"> and we will re-evaluate.</w:t>
      </w:r>
    </w:p>
    <w:p w14:paraId="36650C79" w14:textId="77777777" w:rsidR="00D251E7" w:rsidRDefault="00D251E7" w:rsidP="00D24D9B">
      <w:pPr>
        <w:spacing w:after="0" w:line="240" w:lineRule="auto"/>
        <w:rPr>
          <w:rFonts w:ascii="Arial" w:hAnsi="Arial" w:cs="Arial"/>
          <w:sz w:val="22"/>
          <w:szCs w:val="24"/>
        </w:rPr>
      </w:pPr>
    </w:p>
    <w:p w14:paraId="68522BBE" w14:textId="6A2B9B67" w:rsidR="00DE2746" w:rsidRDefault="00DE2746" w:rsidP="00D24D9B">
      <w:pPr>
        <w:spacing w:after="0" w:line="24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Any visible cervical abnormalities or abnormal symptoms must be investigated by a specialist (e.g., </w:t>
      </w:r>
      <w:proofErr w:type="spellStart"/>
      <w:r>
        <w:rPr>
          <w:rFonts w:ascii="Arial" w:hAnsi="Arial" w:cs="Arial"/>
          <w:sz w:val="22"/>
          <w:szCs w:val="24"/>
        </w:rPr>
        <w:t>colposcopist</w:t>
      </w:r>
      <w:proofErr w:type="spellEnd"/>
      <w:r>
        <w:rPr>
          <w:rFonts w:ascii="Arial" w:hAnsi="Arial" w:cs="Arial"/>
          <w:sz w:val="22"/>
          <w:szCs w:val="24"/>
        </w:rPr>
        <w:t xml:space="preserve">, </w:t>
      </w:r>
      <w:proofErr w:type="spellStart"/>
      <w:r>
        <w:rPr>
          <w:rFonts w:ascii="Arial" w:hAnsi="Arial" w:cs="Arial"/>
          <w:sz w:val="22"/>
          <w:szCs w:val="24"/>
        </w:rPr>
        <w:t>gyne</w:t>
      </w:r>
      <w:proofErr w:type="spellEnd"/>
      <w:r>
        <w:rPr>
          <w:rFonts w:ascii="Arial" w:hAnsi="Arial" w:cs="Arial"/>
          <w:sz w:val="22"/>
          <w:szCs w:val="24"/>
        </w:rPr>
        <w:t xml:space="preserve">-oncologist, </w:t>
      </w:r>
      <w:proofErr w:type="gramStart"/>
      <w:r>
        <w:rPr>
          <w:rFonts w:ascii="Arial" w:hAnsi="Arial" w:cs="Arial"/>
          <w:sz w:val="22"/>
          <w:szCs w:val="24"/>
        </w:rPr>
        <w:t>gynecologist</w:t>
      </w:r>
      <w:proofErr w:type="gramEnd"/>
      <w:r>
        <w:rPr>
          <w:rFonts w:ascii="Arial" w:hAnsi="Arial" w:cs="Arial"/>
          <w:sz w:val="22"/>
          <w:szCs w:val="24"/>
        </w:rPr>
        <w:t>) regardless of cytology findings.</w:t>
      </w:r>
    </w:p>
    <w:p w14:paraId="37B65D71" w14:textId="77777777" w:rsidR="00DE2746" w:rsidRDefault="00DE2746" w:rsidP="00D24D9B">
      <w:pPr>
        <w:spacing w:after="0" w:line="240" w:lineRule="auto"/>
        <w:rPr>
          <w:rFonts w:ascii="Arial" w:hAnsi="Arial" w:cs="Arial"/>
          <w:sz w:val="22"/>
          <w:szCs w:val="24"/>
        </w:rPr>
      </w:pPr>
    </w:p>
    <w:p w14:paraId="6AE0EA88" w14:textId="0B6F0B03" w:rsidR="00CD11B1" w:rsidRPr="00540F67" w:rsidRDefault="00D24D9B" w:rsidP="00D24D9B">
      <w:pPr>
        <w:spacing w:after="0" w:line="240" w:lineRule="auto"/>
        <w:rPr>
          <w:rFonts w:ascii="Arial" w:hAnsi="Arial" w:cs="Arial"/>
          <w:sz w:val="22"/>
          <w:szCs w:val="24"/>
        </w:rPr>
      </w:pPr>
      <w:r w:rsidRPr="00540F67">
        <w:rPr>
          <w:rFonts w:ascii="Arial" w:hAnsi="Arial" w:cs="Arial"/>
          <w:sz w:val="22"/>
          <w:szCs w:val="24"/>
        </w:rPr>
        <w:t xml:space="preserve">As per the Ontario Cervical Screening Program’s </w:t>
      </w:r>
      <w:r w:rsidR="00540F67">
        <w:rPr>
          <w:rFonts w:ascii="Arial" w:hAnsi="Arial" w:cs="Arial"/>
          <w:sz w:val="22"/>
          <w:szCs w:val="24"/>
        </w:rPr>
        <w:t>c</w:t>
      </w:r>
      <w:r w:rsidRPr="00260E2F">
        <w:rPr>
          <w:rFonts w:ascii="Arial" w:hAnsi="Arial" w:cs="Arial"/>
          <w:sz w:val="22"/>
          <w:szCs w:val="24"/>
        </w:rPr>
        <w:t>ervical</w:t>
      </w:r>
      <w:r w:rsidRPr="00540F67">
        <w:rPr>
          <w:rFonts w:ascii="Arial" w:hAnsi="Arial" w:cs="Arial"/>
          <w:sz w:val="22"/>
          <w:szCs w:val="24"/>
        </w:rPr>
        <w:t xml:space="preserve"> </w:t>
      </w:r>
      <w:r w:rsidR="00540F67">
        <w:rPr>
          <w:rFonts w:ascii="Arial" w:hAnsi="Arial" w:cs="Arial"/>
          <w:sz w:val="22"/>
          <w:szCs w:val="24"/>
        </w:rPr>
        <w:t>s</w:t>
      </w:r>
      <w:r w:rsidRPr="00260E2F">
        <w:rPr>
          <w:rFonts w:ascii="Arial" w:hAnsi="Arial" w:cs="Arial"/>
          <w:sz w:val="22"/>
          <w:szCs w:val="24"/>
        </w:rPr>
        <w:t xml:space="preserve">creening </w:t>
      </w:r>
      <w:r w:rsidR="00540F67">
        <w:rPr>
          <w:rFonts w:ascii="Arial" w:hAnsi="Arial" w:cs="Arial"/>
          <w:sz w:val="22"/>
          <w:szCs w:val="24"/>
        </w:rPr>
        <w:t>g</w:t>
      </w:r>
      <w:r w:rsidRPr="00260E2F">
        <w:rPr>
          <w:rFonts w:ascii="Arial" w:hAnsi="Arial" w:cs="Arial"/>
          <w:sz w:val="22"/>
          <w:szCs w:val="24"/>
        </w:rPr>
        <w:t>uidelines</w:t>
      </w:r>
      <w:r w:rsidRPr="00540F67">
        <w:rPr>
          <w:rFonts w:ascii="Arial" w:hAnsi="Arial" w:cs="Arial"/>
          <w:sz w:val="22"/>
          <w:szCs w:val="24"/>
        </w:rPr>
        <w:t xml:space="preserve">, the criteria for referral to colposcopy </w:t>
      </w:r>
      <w:r w:rsidR="0009258F">
        <w:rPr>
          <w:rFonts w:ascii="Arial" w:hAnsi="Arial" w:cs="Arial"/>
          <w:sz w:val="22"/>
          <w:szCs w:val="24"/>
        </w:rPr>
        <w:t xml:space="preserve">for </w:t>
      </w:r>
      <w:r w:rsidR="008752CB">
        <w:rPr>
          <w:rFonts w:ascii="Arial" w:hAnsi="Arial" w:cs="Arial"/>
          <w:sz w:val="22"/>
          <w:szCs w:val="24"/>
        </w:rPr>
        <w:t xml:space="preserve">screening detected cervical </w:t>
      </w:r>
      <w:r w:rsidR="0009258F">
        <w:rPr>
          <w:rFonts w:ascii="Arial" w:hAnsi="Arial" w:cs="Arial"/>
          <w:sz w:val="22"/>
          <w:szCs w:val="24"/>
        </w:rPr>
        <w:t xml:space="preserve">cytologic abnormalities </w:t>
      </w:r>
      <w:r w:rsidRPr="00540F67">
        <w:rPr>
          <w:rFonts w:ascii="Arial" w:hAnsi="Arial" w:cs="Arial"/>
          <w:sz w:val="22"/>
          <w:szCs w:val="24"/>
        </w:rPr>
        <w:t>are as follows</w:t>
      </w:r>
      <w:r w:rsidR="00540F67">
        <w:rPr>
          <w:rFonts w:ascii="Arial" w:hAnsi="Arial" w:cs="Arial"/>
          <w:sz w:val="22"/>
          <w:szCs w:val="24"/>
        </w:rPr>
        <w:t>:</w:t>
      </w:r>
    </w:p>
    <w:p w14:paraId="5192621C" w14:textId="77777777" w:rsidR="00CD11B1" w:rsidRPr="00540F67" w:rsidRDefault="00CD11B1" w:rsidP="00D24D9B">
      <w:pPr>
        <w:spacing w:after="0" w:line="240" w:lineRule="auto"/>
        <w:rPr>
          <w:rFonts w:ascii="Arial" w:hAnsi="Arial" w:cs="Arial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ntario cervical screening guidelines for referral to colposcopy"/>
        <w:tblDescription w:val="The table outlines the appropriate colposcopy referral criteria by age group "/>
      </w:tblPr>
      <w:tblGrid>
        <w:gridCol w:w="2245"/>
        <w:gridCol w:w="3150"/>
        <w:gridCol w:w="5395"/>
      </w:tblGrid>
      <w:tr w:rsidR="00750525" w:rsidRPr="00540F67" w14:paraId="3700C312" w14:textId="77777777" w:rsidTr="002962E5">
        <w:trPr>
          <w:tblHeader/>
        </w:trPr>
        <w:tc>
          <w:tcPr>
            <w:tcW w:w="2245" w:type="dxa"/>
            <w:shd w:val="clear" w:color="auto" w:fill="000000" w:themeFill="text1"/>
          </w:tcPr>
          <w:p w14:paraId="7C710A7A" w14:textId="77116056" w:rsidR="00750525" w:rsidRPr="00750525" w:rsidRDefault="00750525" w:rsidP="002962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0525">
              <w:rPr>
                <w:rFonts w:ascii="Arial" w:hAnsi="Arial" w:cs="Arial"/>
                <w:b/>
                <w:sz w:val="20"/>
                <w:szCs w:val="20"/>
              </w:rPr>
              <w:t>Age group</w:t>
            </w:r>
          </w:p>
        </w:tc>
        <w:tc>
          <w:tcPr>
            <w:tcW w:w="8545" w:type="dxa"/>
            <w:gridSpan w:val="2"/>
            <w:shd w:val="clear" w:color="auto" w:fill="000000" w:themeFill="text1"/>
          </w:tcPr>
          <w:p w14:paraId="17ABDB17" w14:textId="6F8FCD7F" w:rsidR="00750525" w:rsidRPr="00750525" w:rsidRDefault="00750525" w:rsidP="002962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Screening </w:t>
            </w:r>
            <w:r w:rsidRPr="00750525">
              <w:rPr>
                <w:rFonts w:ascii="Arial" w:hAnsi="Arial" w:cs="Arial"/>
                <w:b/>
                <w:sz w:val="20"/>
                <w:szCs w:val="20"/>
              </w:rPr>
              <w:t>Results</w:t>
            </w:r>
          </w:p>
        </w:tc>
      </w:tr>
      <w:tr w:rsidR="00CD11B1" w:rsidRPr="00540F67" w14:paraId="61BF33A1" w14:textId="77777777" w:rsidTr="002962E5">
        <w:tc>
          <w:tcPr>
            <w:tcW w:w="2245" w:type="dxa"/>
            <w:shd w:val="clear" w:color="auto" w:fill="F2F2F2" w:themeFill="background1" w:themeFillShade="F2"/>
          </w:tcPr>
          <w:p w14:paraId="77CAAC01" w14:textId="1BCC189F" w:rsidR="00CD11B1" w:rsidRPr="00157289" w:rsidRDefault="00520607" w:rsidP="00D24D9B">
            <w:pPr>
              <w:rPr>
                <w:rFonts w:ascii="Arial" w:hAnsi="Arial" w:cs="Arial"/>
                <w:sz w:val="20"/>
                <w:szCs w:val="20"/>
              </w:rPr>
            </w:pPr>
            <w:r w:rsidRPr="00157289">
              <w:rPr>
                <w:rFonts w:ascii="Arial" w:hAnsi="Arial" w:cs="Arial"/>
                <w:sz w:val="20"/>
                <w:szCs w:val="20"/>
              </w:rPr>
              <w:t xml:space="preserve">Women </w:t>
            </w:r>
            <w:r w:rsidR="008705E7" w:rsidRPr="008705E7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8705E7">
              <w:rPr>
                <w:rFonts w:ascii="Arial" w:hAnsi="Arial" w:cs="Arial"/>
                <w:b/>
                <w:sz w:val="20"/>
                <w:szCs w:val="20"/>
              </w:rPr>
              <w:t>any</w:t>
            </w:r>
            <w:r w:rsidR="008705E7">
              <w:rPr>
                <w:rFonts w:ascii="Arial" w:hAnsi="Arial" w:cs="Arial"/>
                <w:sz w:val="20"/>
                <w:szCs w:val="20"/>
              </w:rPr>
              <w:t xml:space="preserve"> age</w:t>
            </w:r>
          </w:p>
        </w:tc>
        <w:tc>
          <w:tcPr>
            <w:tcW w:w="8545" w:type="dxa"/>
            <w:gridSpan w:val="2"/>
          </w:tcPr>
          <w:p w14:paraId="3535886B" w14:textId="0271120D" w:rsidR="00CD11B1" w:rsidRPr="00157289" w:rsidRDefault="00465475" w:rsidP="00D24D9B">
            <w:pPr>
              <w:rPr>
                <w:rFonts w:ascii="Arial" w:hAnsi="Arial" w:cs="Arial"/>
                <w:sz w:val="20"/>
                <w:szCs w:val="20"/>
              </w:rPr>
            </w:pPr>
            <w:r w:rsidRPr="001D5F08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CD11B1" w:rsidRPr="001D5F08">
              <w:rPr>
                <w:rFonts w:ascii="Arial" w:hAnsi="Arial" w:cs="Arial"/>
                <w:b/>
                <w:sz w:val="20"/>
                <w:szCs w:val="20"/>
              </w:rPr>
              <w:t>ig</w:t>
            </w:r>
            <w:r w:rsidR="00750525">
              <w:rPr>
                <w:rFonts w:ascii="Arial" w:hAnsi="Arial" w:cs="Arial"/>
                <w:b/>
                <w:sz w:val="20"/>
                <w:szCs w:val="20"/>
              </w:rPr>
              <w:t>h-grade abnormal cytology</w:t>
            </w:r>
            <w:r w:rsidR="00CD11B1" w:rsidRPr="00157289">
              <w:rPr>
                <w:rFonts w:ascii="Arial" w:hAnsi="Arial" w:cs="Arial"/>
                <w:sz w:val="20"/>
                <w:szCs w:val="20"/>
              </w:rPr>
              <w:t>, including ASC-H, HSIL, AGC or greater</w:t>
            </w:r>
          </w:p>
        </w:tc>
      </w:tr>
      <w:tr w:rsidR="00CD11B1" w:rsidRPr="00540F67" w14:paraId="50EAF16E" w14:textId="77777777" w:rsidTr="002962E5">
        <w:tc>
          <w:tcPr>
            <w:tcW w:w="2245" w:type="dxa"/>
            <w:shd w:val="clear" w:color="auto" w:fill="F2F2F2" w:themeFill="background1" w:themeFillShade="F2"/>
          </w:tcPr>
          <w:p w14:paraId="7F2CA19E" w14:textId="3758437F" w:rsidR="00CD11B1" w:rsidRPr="00157289" w:rsidRDefault="00CD11B1">
            <w:pPr>
              <w:rPr>
                <w:rFonts w:ascii="Arial" w:hAnsi="Arial" w:cs="Arial"/>
                <w:sz w:val="20"/>
                <w:szCs w:val="20"/>
              </w:rPr>
            </w:pPr>
            <w:r w:rsidRPr="00157289">
              <w:rPr>
                <w:rFonts w:ascii="Arial" w:hAnsi="Arial" w:cs="Arial"/>
                <w:sz w:val="20"/>
                <w:szCs w:val="20"/>
              </w:rPr>
              <w:t xml:space="preserve">Women age </w:t>
            </w:r>
            <w:r w:rsidRPr="00157289">
              <w:rPr>
                <w:rFonts w:ascii="Arial" w:hAnsi="Arial" w:cs="Arial"/>
                <w:b/>
                <w:sz w:val="20"/>
                <w:szCs w:val="20"/>
              </w:rPr>
              <w:t>30 and older</w:t>
            </w:r>
          </w:p>
        </w:tc>
        <w:tc>
          <w:tcPr>
            <w:tcW w:w="8545" w:type="dxa"/>
            <w:gridSpan w:val="2"/>
          </w:tcPr>
          <w:p w14:paraId="6E412D72" w14:textId="6C9DC2E9" w:rsidR="00CD11B1" w:rsidRPr="00157289" w:rsidRDefault="00463F99" w:rsidP="00D24D9B">
            <w:pPr>
              <w:rPr>
                <w:rFonts w:ascii="Arial" w:hAnsi="Arial" w:cs="Arial"/>
                <w:sz w:val="20"/>
                <w:szCs w:val="20"/>
              </w:rPr>
            </w:pPr>
            <w:r w:rsidRPr="001D5F08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750525">
              <w:rPr>
                <w:rFonts w:ascii="Arial" w:hAnsi="Arial" w:cs="Arial"/>
                <w:b/>
                <w:sz w:val="20"/>
                <w:szCs w:val="20"/>
              </w:rPr>
              <w:t>ow-grade cytology</w:t>
            </w:r>
            <w:r w:rsidR="00CD11B1" w:rsidRPr="00157289">
              <w:rPr>
                <w:rFonts w:ascii="Arial" w:hAnsi="Arial" w:cs="Arial"/>
                <w:sz w:val="20"/>
                <w:szCs w:val="20"/>
              </w:rPr>
              <w:t>:</w:t>
            </w:r>
            <w:bookmarkStart w:id="0" w:name="_GoBack"/>
            <w:bookmarkEnd w:id="0"/>
          </w:p>
          <w:p w14:paraId="557962C7" w14:textId="77777777" w:rsidR="00CD11B1" w:rsidRPr="00157289" w:rsidRDefault="00CD11B1" w:rsidP="00CD11B1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Arial" w:hAnsi="Arial" w:cs="Arial"/>
                <w:sz w:val="20"/>
                <w:szCs w:val="20"/>
              </w:rPr>
            </w:pPr>
            <w:r w:rsidRPr="00157289">
              <w:rPr>
                <w:rFonts w:ascii="Arial" w:hAnsi="Arial" w:cs="Arial"/>
                <w:sz w:val="20"/>
                <w:szCs w:val="20"/>
              </w:rPr>
              <w:t>One LSIL;</w:t>
            </w:r>
          </w:p>
          <w:p w14:paraId="2CCF4995" w14:textId="77777777" w:rsidR="00CD11B1" w:rsidRPr="00157289" w:rsidRDefault="00CD11B1" w:rsidP="00CD11B1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Arial" w:hAnsi="Arial" w:cs="Arial"/>
                <w:sz w:val="20"/>
                <w:szCs w:val="20"/>
              </w:rPr>
            </w:pPr>
            <w:r w:rsidRPr="00157289">
              <w:rPr>
                <w:rFonts w:ascii="Arial" w:hAnsi="Arial" w:cs="Arial"/>
                <w:sz w:val="20"/>
                <w:szCs w:val="20"/>
              </w:rPr>
              <w:t xml:space="preserve">ASCUS + consecutive low-grade abnormal (ASCUS + ASCUS or ASCUS + LSIL); </w:t>
            </w:r>
          </w:p>
          <w:p w14:paraId="27469214" w14:textId="77777777" w:rsidR="00CD11B1" w:rsidRPr="00157289" w:rsidRDefault="00CD11B1" w:rsidP="002962E5">
            <w:pPr>
              <w:pStyle w:val="ListParagraph"/>
              <w:numPr>
                <w:ilvl w:val="0"/>
                <w:numId w:val="3"/>
              </w:numPr>
              <w:tabs>
                <w:tab w:val="left" w:pos="5302"/>
              </w:tabs>
              <w:ind w:left="522"/>
              <w:rPr>
                <w:rFonts w:ascii="Arial" w:hAnsi="Arial" w:cs="Arial"/>
                <w:sz w:val="20"/>
                <w:szCs w:val="20"/>
              </w:rPr>
            </w:pPr>
            <w:r w:rsidRPr="00157289">
              <w:rPr>
                <w:rFonts w:ascii="Arial" w:hAnsi="Arial" w:cs="Arial"/>
                <w:sz w:val="20"/>
                <w:szCs w:val="20"/>
              </w:rPr>
              <w:t>LSIL + consecutive low-grade abnormal (LSIL + LSIL or LSIL + ASCUS);</w:t>
            </w:r>
          </w:p>
          <w:p w14:paraId="595EBE8A" w14:textId="4D46B11A" w:rsidR="00CD11B1" w:rsidRPr="00157289" w:rsidRDefault="00CD11B1" w:rsidP="00CD11B1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Arial" w:hAnsi="Arial" w:cs="Arial"/>
                <w:sz w:val="20"/>
                <w:szCs w:val="20"/>
              </w:rPr>
            </w:pPr>
            <w:r w:rsidRPr="00157289">
              <w:rPr>
                <w:rFonts w:ascii="Arial" w:hAnsi="Arial" w:cs="Arial"/>
                <w:sz w:val="20"/>
                <w:szCs w:val="20"/>
              </w:rPr>
              <w:t>One ASCUS + HPV</w:t>
            </w:r>
            <w:r w:rsidR="00540F67" w:rsidRPr="00157289">
              <w:rPr>
                <w:rFonts w:ascii="Arial" w:hAnsi="Arial" w:cs="Arial"/>
                <w:sz w:val="20"/>
                <w:szCs w:val="20"/>
              </w:rPr>
              <w:t>-</w:t>
            </w:r>
            <w:r w:rsidRPr="00157289">
              <w:rPr>
                <w:rFonts w:ascii="Arial" w:hAnsi="Arial" w:cs="Arial"/>
                <w:sz w:val="20"/>
                <w:szCs w:val="20"/>
              </w:rPr>
              <w:t>positive; or</w:t>
            </w:r>
          </w:p>
          <w:p w14:paraId="22C09398" w14:textId="2C051427" w:rsidR="00F06AE5" w:rsidRPr="00157289" w:rsidRDefault="00CD11B1" w:rsidP="00F06AE5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Arial" w:hAnsi="Arial" w:cs="Arial"/>
                <w:sz w:val="20"/>
                <w:szCs w:val="20"/>
              </w:rPr>
            </w:pPr>
            <w:r w:rsidRPr="00157289">
              <w:rPr>
                <w:rFonts w:ascii="Arial" w:hAnsi="Arial" w:cs="Arial"/>
                <w:sz w:val="20"/>
                <w:szCs w:val="20"/>
              </w:rPr>
              <w:t>One LSIL + HPV</w:t>
            </w:r>
            <w:r w:rsidR="00540F67" w:rsidRPr="00157289">
              <w:rPr>
                <w:rFonts w:ascii="Arial" w:hAnsi="Arial" w:cs="Arial"/>
                <w:sz w:val="20"/>
                <w:szCs w:val="20"/>
              </w:rPr>
              <w:t>-</w:t>
            </w:r>
            <w:r w:rsidRPr="00157289">
              <w:rPr>
                <w:rFonts w:ascii="Arial" w:hAnsi="Arial" w:cs="Arial"/>
                <w:sz w:val="20"/>
                <w:szCs w:val="20"/>
              </w:rPr>
              <w:t>positive.</w:t>
            </w:r>
          </w:p>
        </w:tc>
      </w:tr>
      <w:tr w:rsidR="00CD11B1" w:rsidRPr="00540F67" w14:paraId="0493B732" w14:textId="77777777" w:rsidTr="002962E5">
        <w:tc>
          <w:tcPr>
            <w:tcW w:w="22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3CE02D" w14:textId="723585B5" w:rsidR="00CD11B1" w:rsidRPr="00157289" w:rsidRDefault="00CD11B1">
            <w:pPr>
              <w:rPr>
                <w:rFonts w:ascii="Arial" w:hAnsi="Arial" w:cs="Arial"/>
                <w:sz w:val="20"/>
                <w:szCs w:val="20"/>
              </w:rPr>
            </w:pPr>
            <w:r w:rsidRPr="00157289">
              <w:rPr>
                <w:rFonts w:ascii="Arial" w:hAnsi="Arial" w:cs="Arial"/>
                <w:sz w:val="20"/>
                <w:szCs w:val="20"/>
              </w:rPr>
              <w:t xml:space="preserve">Women age </w:t>
            </w:r>
            <w:r w:rsidRPr="00157289">
              <w:rPr>
                <w:rFonts w:ascii="Arial" w:hAnsi="Arial" w:cs="Arial"/>
                <w:b/>
                <w:sz w:val="20"/>
                <w:szCs w:val="20"/>
              </w:rPr>
              <w:t>29 and younger</w:t>
            </w:r>
          </w:p>
        </w:tc>
        <w:tc>
          <w:tcPr>
            <w:tcW w:w="8545" w:type="dxa"/>
            <w:gridSpan w:val="2"/>
            <w:tcBorders>
              <w:bottom w:val="single" w:sz="4" w:space="0" w:color="auto"/>
            </w:tcBorders>
          </w:tcPr>
          <w:p w14:paraId="1A7108AC" w14:textId="7C51F779" w:rsidR="00CD11B1" w:rsidRPr="00157289" w:rsidRDefault="00750525" w:rsidP="00CD1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Low-grade cytology</w:t>
            </w:r>
            <w:r w:rsidR="00CD11B1" w:rsidRPr="001572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667EA7" w14:textId="77777777" w:rsidR="00CD11B1" w:rsidRPr="00157289" w:rsidRDefault="00CD11B1" w:rsidP="00CD11B1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Arial" w:hAnsi="Arial" w:cs="Arial"/>
                <w:sz w:val="20"/>
                <w:szCs w:val="20"/>
              </w:rPr>
            </w:pPr>
            <w:r w:rsidRPr="00157289">
              <w:rPr>
                <w:rFonts w:ascii="Arial" w:hAnsi="Arial" w:cs="Arial"/>
                <w:sz w:val="20"/>
                <w:szCs w:val="20"/>
              </w:rPr>
              <w:t>One LSIL;</w:t>
            </w:r>
          </w:p>
          <w:p w14:paraId="6015DA81" w14:textId="77777777" w:rsidR="00CD11B1" w:rsidRPr="00157289" w:rsidRDefault="00CD11B1" w:rsidP="00CD11B1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Arial" w:hAnsi="Arial" w:cs="Arial"/>
                <w:sz w:val="20"/>
                <w:szCs w:val="20"/>
              </w:rPr>
            </w:pPr>
            <w:r w:rsidRPr="00157289">
              <w:rPr>
                <w:rFonts w:ascii="Arial" w:hAnsi="Arial" w:cs="Arial"/>
                <w:sz w:val="20"/>
                <w:szCs w:val="20"/>
              </w:rPr>
              <w:t>ASCUS + consecutive low-grade abnormal (ASCUS + ASCUS or ASCUS + LSIL); or</w:t>
            </w:r>
          </w:p>
          <w:p w14:paraId="416C8139" w14:textId="77777777" w:rsidR="00FB2D01" w:rsidRPr="00157289" w:rsidRDefault="00CD11B1" w:rsidP="00FB2D01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Arial" w:hAnsi="Arial" w:cs="Arial"/>
                <w:sz w:val="20"/>
                <w:szCs w:val="20"/>
              </w:rPr>
            </w:pPr>
            <w:r w:rsidRPr="00157289">
              <w:rPr>
                <w:rFonts w:ascii="Arial" w:hAnsi="Arial" w:cs="Arial"/>
                <w:sz w:val="20"/>
                <w:szCs w:val="20"/>
              </w:rPr>
              <w:t>LSIL + consecutive low-grade abnormal (LSIL + LSIL or LSIL + ASCUS)</w:t>
            </w:r>
            <w:r w:rsidR="00FB2D01" w:rsidRPr="0015728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A632EF" w14:textId="77777777" w:rsidR="00505B6C" w:rsidRPr="00157289" w:rsidRDefault="00505B6C" w:rsidP="00505B6C">
            <w:pPr>
              <w:pStyle w:val="ListParagraph"/>
              <w:ind w:left="522"/>
              <w:rPr>
                <w:rFonts w:ascii="Arial" w:hAnsi="Arial" w:cs="Arial"/>
                <w:sz w:val="20"/>
                <w:szCs w:val="20"/>
              </w:rPr>
            </w:pPr>
          </w:p>
          <w:p w14:paraId="54FCE2C0" w14:textId="2ADDD011" w:rsidR="00FB2D01" w:rsidRPr="00157289" w:rsidRDefault="00172E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289">
              <w:rPr>
                <w:rFonts w:ascii="Arial" w:hAnsi="Arial" w:cs="Arial"/>
                <w:b/>
                <w:sz w:val="20"/>
                <w:szCs w:val="20"/>
              </w:rPr>
              <w:t xml:space="preserve">Note: </w:t>
            </w:r>
            <w:r w:rsidR="00E950A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FB2D01" w:rsidRPr="00157289">
              <w:rPr>
                <w:rFonts w:ascii="Arial" w:hAnsi="Arial" w:cs="Arial"/>
                <w:b/>
                <w:sz w:val="20"/>
                <w:szCs w:val="20"/>
              </w:rPr>
              <w:t>urrent evidence</w:t>
            </w:r>
            <w:r w:rsidR="003B0CC2" w:rsidRPr="00157289">
              <w:rPr>
                <w:rFonts w:ascii="Arial" w:hAnsi="Arial" w:cs="Arial"/>
                <w:b/>
                <w:sz w:val="20"/>
                <w:szCs w:val="20"/>
              </w:rPr>
              <w:t xml:space="preserve"> does not support HPV testing for</w:t>
            </w:r>
            <w:r w:rsidR="00BC5053">
              <w:rPr>
                <w:rFonts w:ascii="Arial" w:hAnsi="Arial" w:cs="Arial"/>
                <w:b/>
                <w:sz w:val="20"/>
                <w:szCs w:val="20"/>
              </w:rPr>
              <w:t xml:space="preserve"> women under</w:t>
            </w:r>
            <w:r w:rsidR="00540F67" w:rsidRPr="001572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2D01" w:rsidRPr="00157289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F677A5">
              <w:rPr>
                <w:rFonts w:ascii="Arial" w:hAnsi="Arial" w:cs="Arial"/>
                <w:b/>
                <w:sz w:val="20"/>
                <w:szCs w:val="20"/>
              </w:rPr>
              <w:t xml:space="preserve"> because</w:t>
            </w:r>
            <w:r w:rsidR="0012599D" w:rsidRPr="00157289">
              <w:rPr>
                <w:rFonts w:ascii="Arial" w:hAnsi="Arial" w:cs="Arial"/>
                <w:b/>
                <w:sz w:val="20"/>
                <w:szCs w:val="20"/>
              </w:rPr>
              <w:t xml:space="preserve"> the rate of trans</w:t>
            </w:r>
            <w:r w:rsidR="000E1912">
              <w:rPr>
                <w:rFonts w:ascii="Arial" w:hAnsi="Arial" w:cs="Arial"/>
                <w:b/>
                <w:sz w:val="20"/>
                <w:szCs w:val="20"/>
              </w:rPr>
              <w:t>ient</w:t>
            </w:r>
            <w:r w:rsidR="00EC520B">
              <w:rPr>
                <w:rFonts w:ascii="Arial" w:hAnsi="Arial" w:cs="Arial"/>
                <w:b/>
                <w:sz w:val="20"/>
                <w:szCs w:val="20"/>
              </w:rPr>
              <w:t xml:space="preserve"> (clinical inconsequential) infections is higher younger women</w:t>
            </w:r>
            <w:r w:rsidR="00FB2D01" w:rsidRPr="0015728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20607" w:rsidRPr="00157289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2962E5" w14:paraId="658CDC66" w14:textId="77777777" w:rsidTr="002962E5">
        <w:trPr>
          <w:trHeight w:val="159"/>
        </w:trPr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453CB" w14:textId="7D60AB25" w:rsidR="002962E5" w:rsidRDefault="002962E5" w:rsidP="00FB5C7A">
            <w:pPr>
              <w:rPr>
                <w:rFonts w:ascii="Arial" w:hAnsi="Arial" w:cs="Arial"/>
                <w:sz w:val="18"/>
                <w:szCs w:val="18"/>
              </w:rPr>
            </w:pPr>
            <w:r w:rsidRPr="00260E2F">
              <w:rPr>
                <w:rFonts w:ascii="Arial" w:hAnsi="Arial" w:cs="Arial"/>
                <w:sz w:val="18"/>
                <w:szCs w:val="18"/>
              </w:rPr>
              <w:t>AGC = atypical glandular cells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F9892" w14:textId="4AD00A2E" w:rsidR="002962E5" w:rsidRDefault="002962E5" w:rsidP="00492048">
            <w:pPr>
              <w:rPr>
                <w:rFonts w:ascii="Arial" w:hAnsi="Arial" w:cs="Arial"/>
                <w:sz w:val="18"/>
                <w:szCs w:val="18"/>
              </w:rPr>
            </w:pPr>
            <w:r w:rsidRPr="00260E2F">
              <w:rPr>
                <w:rFonts w:ascii="Arial" w:hAnsi="Arial" w:cs="Arial"/>
                <w:sz w:val="18"/>
                <w:szCs w:val="18"/>
              </w:rPr>
              <w:t>HPV = human papillomavirus</w:t>
            </w:r>
          </w:p>
        </w:tc>
      </w:tr>
      <w:tr w:rsidR="002962E5" w14:paraId="2C9DA703" w14:textId="77777777" w:rsidTr="002962E5">
        <w:trPr>
          <w:trHeight w:val="159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1891E" w14:textId="063B2970" w:rsidR="002962E5" w:rsidRPr="00260E2F" w:rsidRDefault="002962E5" w:rsidP="00FB5C7A">
            <w:pPr>
              <w:rPr>
                <w:rFonts w:ascii="Arial" w:hAnsi="Arial" w:cs="Arial"/>
                <w:sz w:val="18"/>
                <w:szCs w:val="18"/>
              </w:rPr>
            </w:pPr>
            <w:r w:rsidRPr="00260E2F">
              <w:rPr>
                <w:rFonts w:ascii="Arial" w:hAnsi="Arial" w:cs="Arial"/>
                <w:sz w:val="18"/>
                <w:szCs w:val="18"/>
              </w:rPr>
              <w:t>ASC-H = atypical squamous cells – cannot exclude HSIL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CB5FC52" w14:textId="1BD33D54" w:rsidR="002962E5" w:rsidRPr="00260E2F" w:rsidRDefault="002962E5" w:rsidP="00FB5C7A">
            <w:pPr>
              <w:rPr>
                <w:rFonts w:ascii="Arial" w:hAnsi="Arial" w:cs="Arial"/>
                <w:sz w:val="18"/>
                <w:szCs w:val="18"/>
              </w:rPr>
            </w:pPr>
            <w:r w:rsidRPr="00260E2F">
              <w:rPr>
                <w:rFonts w:ascii="Arial" w:hAnsi="Arial" w:cs="Arial"/>
                <w:sz w:val="18"/>
                <w:szCs w:val="18"/>
              </w:rPr>
              <w:t>HSIL = high-grade squamous intraepithelial lesion</w:t>
            </w:r>
          </w:p>
        </w:tc>
      </w:tr>
      <w:tr w:rsidR="002962E5" w14:paraId="38E26A6D" w14:textId="77777777" w:rsidTr="002962E5">
        <w:trPr>
          <w:trHeight w:val="159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CF409" w14:textId="23F4E5D1" w:rsidR="002962E5" w:rsidRPr="00260E2F" w:rsidRDefault="002962E5" w:rsidP="00FB5C7A">
            <w:pPr>
              <w:rPr>
                <w:rFonts w:ascii="Arial" w:hAnsi="Arial" w:cs="Arial"/>
                <w:sz w:val="18"/>
                <w:szCs w:val="18"/>
              </w:rPr>
            </w:pPr>
            <w:r w:rsidRPr="00260E2F">
              <w:rPr>
                <w:rFonts w:ascii="Arial" w:hAnsi="Arial" w:cs="Arial"/>
                <w:sz w:val="18"/>
                <w:szCs w:val="18"/>
              </w:rPr>
              <w:t>ASCUS = atypical squamous cells of undetermined significance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CCABDDB" w14:textId="0720E345" w:rsidR="002962E5" w:rsidRPr="00260E2F" w:rsidRDefault="002962E5" w:rsidP="00FB5C7A">
            <w:pPr>
              <w:rPr>
                <w:rFonts w:ascii="Arial" w:hAnsi="Arial" w:cs="Arial"/>
                <w:sz w:val="18"/>
                <w:szCs w:val="18"/>
              </w:rPr>
            </w:pPr>
            <w:r w:rsidRPr="00260E2F">
              <w:rPr>
                <w:rFonts w:ascii="Arial" w:hAnsi="Arial" w:cs="Arial"/>
                <w:sz w:val="18"/>
                <w:szCs w:val="18"/>
              </w:rPr>
              <w:t>LSIL = low-grade squamous intraepithelial lesion</w:t>
            </w:r>
          </w:p>
        </w:tc>
      </w:tr>
    </w:tbl>
    <w:p w14:paraId="1EDFA82B" w14:textId="77777777" w:rsidR="0052379E" w:rsidRPr="00540F67" w:rsidRDefault="0052379E" w:rsidP="008829A0">
      <w:pPr>
        <w:spacing w:after="0" w:line="240" w:lineRule="auto"/>
        <w:rPr>
          <w:rFonts w:ascii="Arial" w:hAnsi="Arial" w:cs="Arial"/>
          <w:sz w:val="22"/>
          <w:szCs w:val="24"/>
        </w:rPr>
      </w:pPr>
    </w:p>
    <w:p w14:paraId="05434CDF" w14:textId="4F1AFBD2" w:rsidR="00F2700C" w:rsidRPr="00540F67" w:rsidRDefault="00FB5C7A" w:rsidP="008829A0">
      <w:pPr>
        <w:spacing w:after="0" w:line="24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W</w:t>
      </w:r>
      <w:r w:rsidR="00DD7DCF">
        <w:rPr>
          <w:rFonts w:ascii="Arial" w:hAnsi="Arial" w:cs="Arial"/>
          <w:sz w:val="22"/>
          <w:szCs w:val="24"/>
        </w:rPr>
        <w:t xml:space="preserve">omen </w:t>
      </w:r>
      <w:r w:rsidR="004F16DE">
        <w:rPr>
          <w:rFonts w:ascii="Arial" w:hAnsi="Arial" w:cs="Arial"/>
          <w:sz w:val="22"/>
          <w:szCs w:val="24"/>
        </w:rPr>
        <w:t>over 30 with</w:t>
      </w:r>
      <w:r w:rsidR="00F81055">
        <w:rPr>
          <w:rFonts w:ascii="Arial" w:hAnsi="Arial" w:cs="Arial"/>
          <w:sz w:val="22"/>
          <w:szCs w:val="24"/>
        </w:rPr>
        <w:t xml:space="preserve"> LSIL or ASCUS Pap, who are HPV negative</w:t>
      </w:r>
      <w:r w:rsidR="00B820BF" w:rsidRPr="00540F67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</w:t>
      </w:r>
      <w:r w:rsidR="00D6625D">
        <w:rPr>
          <w:rFonts w:ascii="Arial" w:hAnsi="Arial" w:cs="Arial"/>
          <w:sz w:val="22"/>
          <w:szCs w:val="24"/>
        </w:rPr>
        <w:t>do not require</w:t>
      </w:r>
      <w:r w:rsidR="00EC520B">
        <w:rPr>
          <w:rFonts w:ascii="Arial" w:hAnsi="Arial" w:cs="Arial"/>
          <w:sz w:val="22"/>
          <w:szCs w:val="24"/>
        </w:rPr>
        <w:t xml:space="preserve"> colposcopy</w:t>
      </w:r>
      <w:r w:rsidR="00DD7DCF">
        <w:rPr>
          <w:rFonts w:ascii="Arial" w:hAnsi="Arial" w:cs="Arial"/>
          <w:sz w:val="22"/>
          <w:szCs w:val="24"/>
        </w:rPr>
        <w:t xml:space="preserve"> and should be screened</w:t>
      </w:r>
      <w:r w:rsidR="004F16DE">
        <w:rPr>
          <w:rFonts w:ascii="Arial" w:hAnsi="Arial" w:cs="Arial"/>
          <w:sz w:val="22"/>
          <w:szCs w:val="24"/>
        </w:rPr>
        <w:t xml:space="preserve"> t</w:t>
      </w:r>
      <w:r w:rsidR="00B820BF" w:rsidRPr="00540F67">
        <w:rPr>
          <w:rFonts w:ascii="Arial" w:hAnsi="Arial" w:cs="Arial"/>
          <w:sz w:val="22"/>
          <w:szCs w:val="24"/>
        </w:rPr>
        <w:t>riennial</w:t>
      </w:r>
      <w:r w:rsidR="00DD7DCF">
        <w:rPr>
          <w:rFonts w:ascii="Arial" w:hAnsi="Arial" w:cs="Arial"/>
          <w:sz w:val="22"/>
          <w:szCs w:val="24"/>
        </w:rPr>
        <w:t>ly</w:t>
      </w:r>
      <w:r>
        <w:rPr>
          <w:rFonts w:ascii="Arial" w:hAnsi="Arial" w:cs="Arial"/>
          <w:sz w:val="22"/>
          <w:szCs w:val="24"/>
        </w:rPr>
        <w:t>. These women are</w:t>
      </w:r>
      <w:r w:rsidR="00FE45AA" w:rsidRPr="00540F67">
        <w:rPr>
          <w:rFonts w:ascii="Arial" w:hAnsi="Arial" w:cs="Arial"/>
          <w:sz w:val="22"/>
          <w:szCs w:val="24"/>
        </w:rPr>
        <w:t xml:space="preserve"> at or below population risk for </w:t>
      </w:r>
      <w:r w:rsidR="00260E2F">
        <w:rPr>
          <w:rFonts w:ascii="Arial" w:hAnsi="Arial" w:cs="Arial"/>
          <w:sz w:val="22"/>
          <w:szCs w:val="24"/>
        </w:rPr>
        <w:t>high-grade dysplasia or cervical cancer</w:t>
      </w:r>
      <w:r w:rsidR="00B820BF" w:rsidRPr="00540F67">
        <w:rPr>
          <w:rFonts w:ascii="Arial" w:hAnsi="Arial" w:cs="Arial"/>
          <w:sz w:val="22"/>
          <w:szCs w:val="24"/>
        </w:rPr>
        <w:t xml:space="preserve">. </w:t>
      </w:r>
    </w:p>
    <w:p w14:paraId="01E8B2EC" w14:textId="77777777" w:rsidR="00B820BF" w:rsidRPr="00540F67" w:rsidRDefault="00B820BF" w:rsidP="008829A0">
      <w:pPr>
        <w:spacing w:after="0" w:line="240" w:lineRule="auto"/>
        <w:rPr>
          <w:rFonts w:ascii="Arial" w:hAnsi="Arial" w:cs="Arial"/>
          <w:sz w:val="22"/>
          <w:szCs w:val="24"/>
          <w:lang w:val="en-US"/>
        </w:rPr>
      </w:pPr>
    </w:p>
    <w:p w14:paraId="2CA0730E" w14:textId="519DD99D" w:rsidR="001238F7" w:rsidRPr="00540F67" w:rsidRDefault="00FB5C7A" w:rsidP="008829A0">
      <w:pPr>
        <w:spacing w:after="0" w:line="24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For f</w:t>
      </w:r>
      <w:r w:rsidR="00F7577A" w:rsidRPr="00540F67">
        <w:rPr>
          <w:rFonts w:ascii="Arial" w:hAnsi="Arial" w:cs="Arial"/>
          <w:sz w:val="22"/>
          <w:szCs w:val="24"/>
        </w:rPr>
        <w:t xml:space="preserve">urther information on screening and colposcopy recommendations for Ontario </w:t>
      </w:r>
      <w:r>
        <w:rPr>
          <w:rFonts w:ascii="Arial" w:hAnsi="Arial" w:cs="Arial"/>
          <w:sz w:val="22"/>
          <w:szCs w:val="24"/>
        </w:rPr>
        <w:t>see</w:t>
      </w:r>
      <w:r w:rsidR="00F7577A" w:rsidRPr="00540F67">
        <w:rPr>
          <w:rFonts w:ascii="Arial" w:hAnsi="Arial" w:cs="Arial"/>
          <w:sz w:val="22"/>
          <w:szCs w:val="24"/>
        </w:rPr>
        <w:t xml:space="preserve"> </w:t>
      </w:r>
      <w:r w:rsidR="007510C8" w:rsidRPr="00260E2F">
        <w:t>cancercare.on.ca/pcs/screening/</w:t>
      </w:r>
      <w:proofErr w:type="spellStart"/>
      <w:r w:rsidR="007510C8" w:rsidRPr="00260E2F">
        <w:t>cervscreening</w:t>
      </w:r>
      <w:proofErr w:type="spellEnd"/>
      <w:r w:rsidR="007510C8" w:rsidRPr="00260E2F">
        <w:t>/</w:t>
      </w:r>
      <w:proofErr w:type="spellStart"/>
      <w:r w:rsidR="007510C8" w:rsidRPr="00260E2F">
        <w:t>hcpresources</w:t>
      </w:r>
      <w:proofErr w:type="spellEnd"/>
      <w:r w:rsidR="00FA36EC">
        <w:rPr>
          <w:rFonts w:ascii="Arial" w:hAnsi="Arial" w:cs="Arial"/>
          <w:sz w:val="22"/>
          <w:szCs w:val="24"/>
        </w:rPr>
        <w:t xml:space="preserve">. </w:t>
      </w:r>
      <w:r w:rsidR="007510C8" w:rsidRPr="00540F67">
        <w:rPr>
          <w:rFonts w:ascii="Arial" w:hAnsi="Arial" w:cs="Arial"/>
          <w:sz w:val="22"/>
          <w:szCs w:val="24"/>
        </w:rPr>
        <w:t xml:space="preserve"> </w:t>
      </w:r>
    </w:p>
    <w:p w14:paraId="7E7A59C6" w14:textId="77777777" w:rsidR="00C636FE" w:rsidRPr="00540F67" w:rsidRDefault="00F7577A" w:rsidP="00DE2746">
      <w:pPr>
        <w:spacing w:before="360" w:after="0" w:line="240" w:lineRule="auto"/>
        <w:rPr>
          <w:rFonts w:ascii="Arial" w:hAnsi="Arial" w:cs="Arial"/>
          <w:sz w:val="22"/>
          <w:szCs w:val="24"/>
        </w:rPr>
      </w:pPr>
      <w:r w:rsidRPr="00540F67">
        <w:rPr>
          <w:rFonts w:ascii="Arial" w:hAnsi="Arial" w:cs="Arial"/>
          <w:sz w:val="22"/>
          <w:szCs w:val="24"/>
        </w:rPr>
        <w:t>[Physician Name</w:t>
      </w:r>
      <w:r w:rsidR="00BF5CC5" w:rsidRPr="00540F67">
        <w:rPr>
          <w:rFonts w:ascii="Arial" w:hAnsi="Arial" w:cs="Arial"/>
          <w:sz w:val="22"/>
          <w:szCs w:val="24"/>
        </w:rPr>
        <w:t>]</w:t>
      </w:r>
      <w:r w:rsidRPr="00540F67">
        <w:rPr>
          <w:rFonts w:ascii="Arial" w:hAnsi="Arial" w:cs="Arial"/>
          <w:sz w:val="22"/>
          <w:szCs w:val="24"/>
        </w:rPr>
        <w:t xml:space="preserve">, MD, Colposcopist  </w:t>
      </w:r>
    </w:p>
    <w:sectPr w:rsidR="00C636FE" w:rsidRPr="00540F67" w:rsidSect="00F1074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7DA33" w14:textId="77777777" w:rsidR="007A295D" w:rsidRDefault="007A295D" w:rsidP="007510C8">
      <w:pPr>
        <w:spacing w:after="0" w:line="240" w:lineRule="auto"/>
      </w:pPr>
      <w:r>
        <w:separator/>
      </w:r>
    </w:p>
  </w:endnote>
  <w:endnote w:type="continuationSeparator" w:id="0">
    <w:p w14:paraId="0CFA5960" w14:textId="77777777" w:rsidR="007A295D" w:rsidRDefault="007A295D" w:rsidP="0075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01A06" w14:textId="77777777" w:rsidR="007510C8" w:rsidRDefault="00DA3C96">
    <w:pPr>
      <w:pStyle w:val="Footer"/>
    </w:pPr>
    <w:r>
      <w:t>Version 1.0</w:t>
    </w:r>
  </w:p>
  <w:p w14:paraId="7F5321AE" w14:textId="6A2EC47D" w:rsidR="00DA3C96" w:rsidRDefault="005B5F91">
    <w:pPr>
      <w:pStyle w:val="Footer"/>
    </w:pPr>
    <w:r>
      <w:t xml:space="preserve">Date Released: </w:t>
    </w:r>
    <w:r w:rsidR="001F1B8C">
      <w:t>Feb 2</w:t>
    </w:r>
    <w:r w:rsidR="00DA3C96">
      <w:t>, 201</w:t>
    </w:r>
    <w:r w:rsidR="0050324C">
      <w:t>7</w:t>
    </w:r>
  </w:p>
  <w:p w14:paraId="334017AF" w14:textId="57F49DD0" w:rsidR="00DA3C96" w:rsidRDefault="00DA3C96">
    <w:pPr>
      <w:pStyle w:val="Footer"/>
    </w:pPr>
    <w:r>
      <w:t xml:space="preserve">Available Online: </w:t>
    </w:r>
    <w:r w:rsidR="001F1B8C" w:rsidRPr="001F1B8C">
      <w:t>https://www.cancercare.on.ca/pcs/scree</w:t>
    </w:r>
    <w:r w:rsidR="001F1B8C">
      <w:t>ning/cervscreening/hcpresources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850C7" w14:textId="77777777" w:rsidR="007A295D" w:rsidRDefault="007A295D" w:rsidP="007510C8">
      <w:pPr>
        <w:spacing w:after="0" w:line="240" w:lineRule="auto"/>
      </w:pPr>
      <w:r>
        <w:separator/>
      </w:r>
    </w:p>
  </w:footnote>
  <w:footnote w:type="continuationSeparator" w:id="0">
    <w:p w14:paraId="20EE87D1" w14:textId="77777777" w:rsidR="007A295D" w:rsidRDefault="007A295D" w:rsidP="007510C8">
      <w:pPr>
        <w:spacing w:after="0" w:line="240" w:lineRule="auto"/>
      </w:pPr>
      <w:r>
        <w:continuationSeparator/>
      </w:r>
    </w:p>
  </w:footnote>
  <w:footnote w:id="1">
    <w:p w14:paraId="086C4AC2" w14:textId="0C2DB6A2" w:rsidR="00520607" w:rsidRPr="00520607" w:rsidRDefault="00520607">
      <w:pPr>
        <w:pStyle w:val="FootnoteText"/>
        <w:rPr>
          <w:sz w:val="18"/>
          <w:szCs w:val="18"/>
          <w:lang w:val="en-US"/>
        </w:rPr>
      </w:pPr>
      <w:r w:rsidRPr="00520607">
        <w:rPr>
          <w:rStyle w:val="FootnoteReference"/>
          <w:sz w:val="18"/>
          <w:szCs w:val="18"/>
        </w:rPr>
        <w:footnoteRef/>
      </w:r>
      <w:r w:rsidRPr="00520607">
        <w:rPr>
          <w:sz w:val="18"/>
          <w:szCs w:val="18"/>
        </w:rPr>
        <w:t xml:space="preserve"> </w:t>
      </w:r>
      <w:r w:rsidRPr="00520607">
        <w:rPr>
          <w:rFonts w:ascii="Arial" w:hAnsi="Arial" w:cs="Arial"/>
          <w:sz w:val="18"/>
          <w:szCs w:val="18"/>
        </w:rPr>
        <w:t xml:space="preserve">Murphy J, Kennedy E, Dunn S, Fung </w:t>
      </w:r>
      <w:proofErr w:type="spellStart"/>
      <w:r w:rsidRPr="00520607">
        <w:rPr>
          <w:rFonts w:ascii="Arial" w:hAnsi="Arial" w:cs="Arial"/>
          <w:sz w:val="18"/>
          <w:szCs w:val="18"/>
        </w:rPr>
        <w:t>Kee</w:t>
      </w:r>
      <w:proofErr w:type="spellEnd"/>
      <w:r w:rsidRPr="00520607">
        <w:rPr>
          <w:rFonts w:ascii="Arial" w:hAnsi="Arial" w:cs="Arial"/>
          <w:sz w:val="18"/>
          <w:szCs w:val="18"/>
        </w:rPr>
        <w:t xml:space="preserve"> Fung M, </w:t>
      </w:r>
      <w:proofErr w:type="spellStart"/>
      <w:r w:rsidRPr="00520607">
        <w:rPr>
          <w:rFonts w:ascii="Arial" w:hAnsi="Arial" w:cs="Arial"/>
          <w:sz w:val="18"/>
          <w:szCs w:val="18"/>
        </w:rPr>
        <w:t>Gzik</w:t>
      </w:r>
      <w:proofErr w:type="spellEnd"/>
      <w:r w:rsidRPr="00520607">
        <w:rPr>
          <w:rFonts w:ascii="Arial" w:hAnsi="Arial" w:cs="Arial"/>
          <w:sz w:val="18"/>
          <w:szCs w:val="18"/>
        </w:rPr>
        <w:t xml:space="preserve"> D, McLachlin CM, et al. Cervical Screening. Toronto (ON): Cancer Care Ontario; 2011 Oct 5 [In Review 2016 Apr.] Program in Evidence-based Care Evidence-based Series No.: 15-9 IN REVIEW. Available online: </w:t>
      </w:r>
      <w:hyperlink r:id="rId1" w:history="1">
        <w:r w:rsidRPr="00520607">
          <w:rPr>
            <w:rStyle w:val="Hyperlink"/>
            <w:rFonts w:ascii="Arial" w:hAnsi="Arial" w:cs="Arial"/>
            <w:sz w:val="18"/>
            <w:szCs w:val="18"/>
          </w:rPr>
          <w:t>cancercare.on.ca/common/pages/</w:t>
        </w:r>
        <w:proofErr w:type="spellStart"/>
        <w:r w:rsidRPr="00520607">
          <w:rPr>
            <w:rStyle w:val="Hyperlink"/>
            <w:rFonts w:ascii="Arial" w:hAnsi="Arial" w:cs="Arial"/>
            <w:sz w:val="18"/>
            <w:szCs w:val="18"/>
          </w:rPr>
          <w:t>UserFile.aspx?fileId</w:t>
        </w:r>
        <w:proofErr w:type="spellEnd"/>
        <w:r w:rsidRPr="00520607">
          <w:rPr>
            <w:rStyle w:val="Hyperlink"/>
            <w:rFonts w:ascii="Arial" w:hAnsi="Arial" w:cs="Arial"/>
            <w:sz w:val="18"/>
            <w:szCs w:val="18"/>
          </w:rPr>
          <w:t>=124513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4C10"/>
    <w:multiLevelType w:val="hybridMultilevel"/>
    <w:tmpl w:val="92286CD4"/>
    <w:lvl w:ilvl="0" w:tplc="10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" w15:restartNumberingAfterBreak="0">
    <w:nsid w:val="4CD379FA"/>
    <w:multiLevelType w:val="hybridMultilevel"/>
    <w:tmpl w:val="80AA8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A0CA6"/>
    <w:multiLevelType w:val="hybridMultilevel"/>
    <w:tmpl w:val="EE1AE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1D"/>
    <w:rsid w:val="00020F8D"/>
    <w:rsid w:val="000447FA"/>
    <w:rsid w:val="00086373"/>
    <w:rsid w:val="00090205"/>
    <w:rsid w:val="0009258F"/>
    <w:rsid w:val="000E1912"/>
    <w:rsid w:val="001238F7"/>
    <w:rsid w:val="0012599D"/>
    <w:rsid w:val="00142131"/>
    <w:rsid w:val="00157289"/>
    <w:rsid w:val="00172EC0"/>
    <w:rsid w:val="00187AAA"/>
    <w:rsid w:val="00197B8D"/>
    <w:rsid w:val="001A0F67"/>
    <w:rsid w:val="001C5ADF"/>
    <w:rsid w:val="001D5F08"/>
    <w:rsid w:val="001E29CB"/>
    <w:rsid w:val="001F1B8C"/>
    <w:rsid w:val="001F3E3D"/>
    <w:rsid w:val="00260E2F"/>
    <w:rsid w:val="0028756D"/>
    <w:rsid w:val="002962E5"/>
    <w:rsid w:val="002B65E4"/>
    <w:rsid w:val="002D13ED"/>
    <w:rsid w:val="002F4DAA"/>
    <w:rsid w:val="003102B1"/>
    <w:rsid w:val="00355E51"/>
    <w:rsid w:val="00366ACA"/>
    <w:rsid w:val="00372F36"/>
    <w:rsid w:val="003B0CC2"/>
    <w:rsid w:val="00412B2B"/>
    <w:rsid w:val="00423637"/>
    <w:rsid w:val="00463F99"/>
    <w:rsid w:val="00465475"/>
    <w:rsid w:val="00482061"/>
    <w:rsid w:val="00492048"/>
    <w:rsid w:val="00496F36"/>
    <w:rsid w:val="004B1102"/>
    <w:rsid w:val="004F16DE"/>
    <w:rsid w:val="005014EE"/>
    <w:rsid w:val="0050324C"/>
    <w:rsid w:val="00503253"/>
    <w:rsid w:val="00505B6C"/>
    <w:rsid w:val="00520607"/>
    <w:rsid w:val="0052379E"/>
    <w:rsid w:val="00526CBF"/>
    <w:rsid w:val="00540F67"/>
    <w:rsid w:val="00544C7B"/>
    <w:rsid w:val="005B5F91"/>
    <w:rsid w:val="005B76B6"/>
    <w:rsid w:val="005C647B"/>
    <w:rsid w:val="005F2B08"/>
    <w:rsid w:val="00603358"/>
    <w:rsid w:val="00641C70"/>
    <w:rsid w:val="0064536E"/>
    <w:rsid w:val="0069679F"/>
    <w:rsid w:val="006C7DD0"/>
    <w:rsid w:val="00701B00"/>
    <w:rsid w:val="00717B41"/>
    <w:rsid w:val="00750525"/>
    <w:rsid w:val="007510C8"/>
    <w:rsid w:val="007A295D"/>
    <w:rsid w:val="007B341D"/>
    <w:rsid w:val="008274EA"/>
    <w:rsid w:val="00827D66"/>
    <w:rsid w:val="008705E7"/>
    <w:rsid w:val="00874C65"/>
    <w:rsid w:val="008752CB"/>
    <w:rsid w:val="00881705"/>
    <w:rsid w:val="008829A0"/>
    <w:rsid w:val="00893598"/>
    <w:rsid w:val="008B39C3"/>
    <w:rsid w:val="008B690A"/>
    <w:rsid w:val="008D5E06"/>
    <w:rsid w:val="008F4283"/>
    <w:rsid w:val="00973F54"/>
    <w:rsid w:val="009809F4"/>
    <w:rsid w:val="009A5838"/>
    <w:rsid w:val="009B4C18"/>
    <w:rsid w:val="009B61C9"/>
    <w:rsid w:val="00A258D5"/>
    <w:rsid w:val="00A47C4D"/>
    <w:rsid w:val="00A5216E"/>
    <w:rsid w:val="00AB3B64"/>
    <w:rsid w:val="00B820BF"/>
    <w:rsid w:val="00BC5053"/>
    <w:rsid w:val="00BF5CC5"/>
    <w:rsid w:val="00C04EBC"/>
    <w:rsid w:val="00C07A69"/>
    <w:rsid w:val="00C636FE"/>
    <w:rsid w:val="00C64E86"/>
    <w:rsid w:val="00C90D03"/>
    <w:rsid w:val="00CD11B1"/>
    <w:rsid w:val="00CE2C7A"/>
    <w:rsid w:val="00D138DA"/>
    <w:rsid w:val="00D16D7A"/>
    <w:rsid w:val="00D20DB4"/>
    <w:rsid w:val="00D24D9B"/>
    <w:rsid w:val="00D251E7"/>
    <w:rsid w:val="00D6625D"/>
    <w:rsid w:val="00DA3C96"/>
    <w:rsid w:val="00DA7CAA"/>
    <w:rsid w:val="00DC3AE1"/>
    <w:rsid w:val="00DD7DCF"/>
    <w:rsid w:val="00DE15E3"/>
    <w:rsid w:val="00DE2746"/>
    <w:rsid w:val="00E25CF8"/>
    <w:rsid w:val="00E7261B"/>
    <w:rsid w:val="00E950AA"/>
    <w:rsid w:val="00EC520B"/>
    <w:rsid w:val="00EE52E7"/>
    <w:rsid w:val="00EE58A2"/>
    <w:rsid w:val="00F06AE5"/>
    <w:rsid w:val="00F102F1"/>
    <w:rsid w:val="00F1074F"/>
    <w:rsid w:val="00F17CFB"/>
    <w:rsid w:val="00F2700C"/>
    <w:rsid w:val="00F3203E"/>
    <w:rsid w:val="00F32587"/>
    <w:rsid w:val="00F677A5"/>
    <w:rsid w:val="00F74168"/>
    <w:rsid w:val="00F7577A"/>
    <w:rsid w:val="00F773A4"/>
    <w:rsid w:val="00F77E52"/>
    <w:rsid w:val="00F81055"/>
    <w:rsid w:val="00FA36EC"/>
    <w:rsid w:val="00FB2D01"/>
    <w:rsid w:val="00FB5C7A"/>
    <w:rsid w:val="00FC0A57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8738EE"/>
  <w15:chartTrackingRefBased/>
  <w15:docId w15:val="{86778A3F-E040-49CA-98A9-C87B601B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41D"/>
  </w:style>
  <w:style w:type="paragraph" w:styleId="Heading1">
    <w:name w:val="heading 1"/>
    <w:basedOn w:val="Normal"/>
    <w:next w:val="Normal"/>
    <w:link w:val="Heading1Char"/>
    <w:uiPriority w:val="9"/>
    <w:qFormat/>
    <w:rsid w:val="007B341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41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41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41D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41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41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41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4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41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41D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41D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341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B341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B341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41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341D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7B341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B341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7B34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341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B341D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4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41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B34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B341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B341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B341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B341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341D"/>
    <w:pPr>
      <w:outlineLvl w:val="9"/>
    </w:pPr>
  </w:style>
  <w:style w:type="table" w:styleId="TableGrid">
    <w:name w:val="Table Grid"/>
    <w:basedOn w:val="TableNormal"/>
    <w:uiPriority w:val="39"/>
    <w:rsid w:val="007B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10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C8"/>
  </w:style>
  <w:style w:type="paragraph" w:styleId="Footer">
    <w:name w:val="footer"/>
    <w:basedOn w:val="Normal"/>
    <w:link w:val="FooterChar"/>
    <w:uiPriority w:val="99"/>
    <w:unhideWhenUsed/>
    <w:rsid w:val="00751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C8"/>
  </w:style>
  <w:style w:type="paragraph" w:styleId="ListParagraph">
    <w:name w:val="List Paragraph"/>
    <w:basedOn w:val="Normal"/>
    <w:uiPriority w:val="34"/>
    <w:qFormat/>
    <w:rsid w:val="005C64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5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E5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06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6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ncercare.on.ca/common/pages/UserFile.aspx?fileId=124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33E6-9D4D-4887-82F2-78D7153E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319</Words>
  <Characters>1912</Characters>
  <Application>Microsoft Office Word</Application>
  <DocSecurity>0</DocSecurity>
  <Lines>57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Raj, Michael</dc:creator>
  <cp:keywords/>
  <dc:description/>
  <cp:lastModifiedBy>Yadav, Royce</cp:lastModifiedBy>
  <cp:revision>34</cp:revision>
  <cp:lastPrinted>2016-09-29T20:39:00Z</cp:lastPrinted>
  <dcterms:created xsi:type="dcterms:W3CDTF">2016-10-28T18:41:00Z</dcterms:created>
  <dcterms:modified xsi:type="dcterms:W3CDTF">2017-02-02T21:27:00Z</dcterms:modified>
</cp:coreProperties>
</file>